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45B58">
      <w:pPr>
        <w:rPr>
          <w:rFonts w:hint="eastAsia"/>
        </w:rPr>
      </w:pPr>
      <w:r>
        <w:rPr>
          <w:rFonts w:hint="eastAsia"/>
        </w:rPr>
        <w:t>在圣理了和分析后影像销售额的是访客量</w:t>
      </w:r>
    </w:p>
    <w:p w14:paraId="74B45B58">
      <w:pPr>
        <w:rPr>
          <w:sz w:val="34"/>
          <w:szCs w:val="34"/>
        </w:rPr>
      </w:pPr>
      <w:r>
        <w:rPr>
          <w:rFonts w:hint="eastAsia"/>
        </w:rPr>
        <w:t>影响访客量的有展现量和点击率一股是稳定的因此影响的是点击率重点提高点击率点击率高访客就高点击率低访客量就低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2026-05-20T09:28:33Z</dcterms:created>
  <dc:creator>iPhone</dc:creator>
  <cp:lastModifiedBy>iPhone</cp:lastModifiedBy>
  <dcterms:modified xsi:type="dcterms:W3CDTF">2026-05-20T09:28:42Z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3A084BE3006036EA410E0D6AC7058BD5_31</vt:lpwstr>
  </property>
</Properties>
</file>